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84" w:rsidRDefault="00CB3384" w:rsidP="00CB3384">
      <w:pPr>
        <w:spacing w:before="120" w:after="120" w:line="240" w:lineRule="auto"/>
        <w:ind w:left="-284"/>
        <w:jc w:val="center"/>
        <w:rPr>
          <w:rStyle w:val="fontstyle01"/>
          <w:color w:val="FF0000"/>
          <w:sz w:val="24"/>
          <w:szCs w:val="24"/>
        </w:rPr>
      </w:pPr>
      <w:bookmarkStart w:id="0" w:name="_GoBack"/>
      <w:r>
        <w:rPr>
          <w:rStyle w:val="fontstyle01"/>
          <w:color w:val="FF0000"/>
          <w:sz w:val="24"/>
          <w:szCs w:val="24"/>
        </w:rPr>
        <w:t>Abstract template</w:t>
      </w:r>
    </w:p>
    <w:bookmarkEnd w:id="0"/>
    <w:p w:rsidR="00244B14" w:rsidRDefault="00244B14" w:rsidP="00244B14">
      <w:pPr>
        <w:spacing w:before="120" w:after="120" w:line="240" w:lineRule="auto"/>
        <w:ind w:left="-284"/>
        <w:jc w:val="both"/>
        <w:rPr>
          <w:rStyle w:val="fontstyle01"/>
          <w:color w:val="FF0000"/>
          <w:sz w:val="24"/>
          <w:szCs w:val="24"/>
        </w:rPr>
      </w:pPr>
      <w:r w:rsidRPr="00D4684D">
        <w:rPr>
          <w:rStyle w:val="fontstyle01"/>
          <w:color w:val="FF0000"/>
          <w:sz w:val="24"/>
          <w:szCs w:val="24"/>
        </w:rPr>
        <w:t>Guidelines for paper submission</w:t>
      </w:r>
    </w:p>
    <w:p w:rsidR="00244B14" w:rsidRPr="00D4684D" w:rsidRDefault="00244B14" w:rsidP="00244B14">
      <w:pPr>
        <w:spacing w:before="120" w:after="120" w:line="240" w:lineRule="auto"/>
        <w:ind w:left="-284"/>
        <w:jc w:val="both"/>
        <w:rPr>
          <w:rStyle w:val="fontstyle01"/>
          <w:color w:val="FF0000"/>
          <w:sz w:val="24"/>
          <w:szCs w:val="24"/>
        </w:rPr>
      </w:pPr>
      <w:r w:rsidRPr="00D4684D">
        <w:rPr>
          <w:rFonts w:ascii="Times New Roman" w:hAnsi="Times New Roman" w:cs="Times New Roman"/>
          <w:color w:val="002060"/>
          <w:sz w:val="24"/>
          <w:szCs w:val="24"/>
        </w:rPr>
        <w:t>Authors are recommended to follow the format below.</w:t>
      </w:r>
    </w:p>
    <w:p w:rsidR="00244B14" w:rsidRPr="004523CF" w:rsidRDefault="00244B14" w:rsidP="00244B14">
      <w:pPr>
        <w:spacing w:before="120" w:after="120" w:line="240" w:lineRule="auto"/>
        <w:ind w:left="-284"/>
        <w:jc w:val="both"/>
        <w:rPr>
          <w:rStyle w:val="fontstyle01"/>
          <w:color w:val="002060"/>
          <w:sz w:val="24"/>
          <w:szCs w:val="24"/>
        </w:rPr>
      </w:pPr>
      <w:r w:rsidRPr="004523CF">
        <w:rPr>
          <w:rStyle w:val="fontstyle01"/>
          <w:color w:val="002060"/>
          <w:sz w:val="24"/>
          <w:szCs w:val="24"/>
        </w:rPr>
        <w:t>Abstract template</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b/>
          <w:color w:val="002060"/>
          <w:sz w:val="24"/>
          <w:szCs w:val="24"/>
        </w:rPr>
        <w:t>Title:</w:t>
      </w:r>
      <w:r w:rsidRPr="001807DB">
        <w:rPr>
          <w:rFonts w:ascii="Times New Roman" w:hAnsi="Times New Roman" w:cs="Times New Roman"/>
          <w:color w:val="002060"/>
          <w:sz w:val="24"/>
          <w:szCs w:val="24"/>
        </w:rPr>
        <w:t xml:space="preserve"> A title with the first word and proper nouns capitalized.</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&lt; Centered bold, Time New Roman 14, Single space &gt;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b/>
          <w:color w:val="002060"/>
          <w:sz w:val="24"/>
          <w:szCs w:val="24"/>
        </w:rPr>
        <w:t>Authors:</w:t>
      </w:r>
      <w:r w:rsidRPr="001807DB">
        <w:rPr>
          <w:rFonts w:ascii="Times New Roman" w:hAnsi="Times New Roman" w:cs="Times New Roman"/>
          <w:color w:val="002060"/>
          <w:sz w:val="24"/>
          <w:szCs w:val="24"/>
        </w:rPr>
        <w:t xml:space="preserve"> Full names (given name, middle initial, family name) of all authors.</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&lt; Centered bold, Time New Roman 12, Single space &gt;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b/>
          <w:color w:val="002060"/>
          <w:sz w:val="24"/>
          <w:szCs w:val="24"/>
        </w:rPr>
        <w:t>Institutions:</w:t>
      </w:r>
      <w:r w:rsidRPr="001807DB">
        <w:rPr>
          <w:rFonts w:ascii="Times New Roman" w:hAnsi="Times New Roman" w:cs="Times New Roman"/>
          <w:color w:val="002060"/>
          <w:sz w:val="24"/>
          <w:szCs w:val="24"/>
        </w:rPr>
        <w:t xml:space="preserve"> Institution name, province/state, and country. The institutions of the authors with location denoted with a number (1, 2, and 3) behind the author’s last name. </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&lt; Centered italic, Time New Roman 12, Single space &gt;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b/>
          <w:color w:val="002060"/>
          <w:sz w:val="24"/>
          <w:szCs w:val="24"/>
        </w:rPr>
        <w:t>Corresponding authors:</w:t>
      </w:r>
      <w:r w:rsidRPr="001807DB">
        <w:rPr>
          <w:rFonts w:ascii="Times New Roman" w:hAnsi="Times New Roman" w:cs="Times New Roman"/>
          <w:color w:val="002060"/>
          <w:sz w:val="24"/>
          <w:szCs w:val="24"/>
        </w:rPr>
        <w:t xml:space="preserve"> An email address of corresponding author</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(Left, Time New Roman 12, Single space)</w:t>
      </w:r>
    </w:p>
    <w:p w:rsidR="00244B14" w:rsidRPr="001807DB" w:rsidRDefault="00244B14" w:rsidP="00244B14">
      <w:pPr>
        <w:spacing w:before="120" w:after="120" w:line="240" w:lineRule="auto"/>
        <w:ind w:left="-284"/>
        <w:jc w:val="both"/>
        <w:rPr>
          <w:rFonts w:ascii="Times New Roman" w:hAnsi="Times New Roman" w:cs="Times New Roman"/>
          <w:b/>
          <w:color w:val="002060"/>
          <w:sz w:val="24"/>
          <w:szCs w:val="24"/>
        </w:rPr>
      </w:pPr>
      <w:r w:rsidRPr="001807DB">
        <w:rPr>
          <w:rFonts w:ascii="Times New Roman" w:hAnsi="Times New Roman" w:cs="Times New Roman"/>
          <w:b/>
          <w:color w:val="002060"/>
          <w:sz w:val="24"/>
          <w:szCs w:val="24"/>
        </w:rPr>
        <w:t>Abstract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&lt; Left bold, Time New Roman 12, Single space &gt;</w:t>
      </w:r>
    </w:p>
    <w:p w:rsidR="00244B14" w:rsidRPr="001807DB" w:rsidRDefault="00244B14" w:rsidP="00244B14">
      <w:pPr>
        <w:spacing w:before="120" w:after="120" w:line="240" w:lineRule="auto"/>
        <w:ind w:left="-284"/>
        <w:jc w:val="both"/>
        <w:rPr>
          <w:rFonts w:ascii="Times New Roman" w:hAnsi="Times New Roman" w:cs="Times New Roman"/>
          <w:b/>
          <w:color w:val="002060"/>
          <w:sz w:val="24"/>
          <w:szCs w:val="24"/>
        </w:rPr>
      </w:pPr>
      <w:r w:rsidRPr="001807DB">
        <w:rPr>
          <w:rFonts w:ascii="Times New Roman" w:hAnsi="Times New Roman" w:cs="Times New Roman"/>
          <w:b/>
          <w:color w:val="002060"/>
          <w:sz w:val="24"/>
          <w:szCs w:val="24"/>
        </w:rPr>
        <w:t>Body of Abstract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 xml:space="preserve">An abstract with a single paragraph of no more than 300 words that should state important objectives, </w:t>
      </w:r>
      <w:r>
        <w:rPr>
          <w:rFonts w:ascii="Times New Roman" w:hAnsi="Times New Roman" w:cs="Times New Roman"/>
          <w:color w:val="002060"/>
          <w:sz w:val="24"/>
          <w:szCs w:val="24"/>
        </w:rPr>
        <w:t>methods</w:t>
      </w:r>
      <w:r w:rsidRPr="001807DB">
        <w:rPr>
          <w:rFonts w:ascii="Times New Roman" w:hAnsi="Times New Roman" w:cs="Times New Roman"/>
          <w:color w:val="002060"/>
          <w:sz w:val="24"/>
          <w:szCs w:val="24"/>
        </w:rPr>
        <w:t>, results and principal conclusions of the study. Abbreviations are defined at first use.</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1807DB">
        <w:rPr>
          <w:rFonts w:ascii="Times New Roman" w:hAnsi="Times New Roman" w:cs="Times New Roman"/>
          <w:color w:val="002060"/>
          <w:sz w:val="24"/>
          <w:szCs w:val="24"/>
        </w:rPr>
        <w:t>&lt; Justify, Time New Roman 12, Single space &gt;</w:t>
      </w:r>
    </w:p>
    <w:p w:rsidR="00244B14" w:rsidRPr="001807DB" w:rsidRDefault="00244B14" w:rsidP="00244B14">
      <w:pPr>
        <w:spacing w:before="120" w:after="120" w:line="240" w:lineRule="auto"/>
        <w:ind w:left="-284"/>
        <w:jc w:val="both"/>
        <w:rPr>
          <w:rFonts w:ascii="Times New Roman" w:hAnsi="Times New Roman" w:cs="Times New Roman"/>
          <w:color w:val="002060"/>
          <w:sz w:val="24"/>
          <w:szCs w:val="24"/>
        </w:rPr>
      </w:pPr>
      <w:r w:rsidRPr="00D4684D">
        <w:rPr>
          <w:rFonts w:ascii="Times New Roman" w:hAnsi="Times New Roman" w:cs="Times New Roman"/>
          <w:b/>
          <w:color w:val="002060"/>
          <w:sz w:val="24"/>
          <w:szCs w:val="24"/>
        </w:rPr>
        <w:t>Key</w:t>
      </w:r>
      <w:r w:rsidRPr="001807DB">
        <w:rPr>
          <w:rFonts w:ascii="Times New Roman" w:hAnsi="Times New Roman" w:cs="Times New Roman"/>
          <w:b/>
          <w:color w:val="002060"/>
          <w:sz w:val="24"/>
          <w:szCs w:val="24"/>
        </w:rPr>
        <w:t>words:</w:t>
      </w:r>
      <w:r w:rsidRPr="001807DB">
        <w:rPr>
          <w:rFonts w:ascii="Times New Roman" w:hAnsi="Times New Roman" w:cs="Times New Roman"/>
          <w:color w:val="002060"/>
          <w:sz w:val="24"/>
          <w:szCs w:val="24"/>
        </w:rPr>
        <w:t xml:space="preserve"> List up to 5 words in alphabetical order and separated by a comma. Capitalize only proper nouns. Do NOT use abbreviations.</w:t>
      </w:r>
    </w:p>
    <w:p w:rsidR="00244B14" w:rsidRPr="00D4684D" w:rsidRDefault="00244B14" w:rsidP="00244B14">
      <w:pPr>
        <w:spacing w:before="120" w:after="120" w:line="240" w:lineRule="auto"/>
        <w:ind w:left="-284"/>
        <w:jc w:val="both"/>
        <w:rPr>
          <w:rFonts w:ascii="Times New Roman" w:hAnsi="Times New Roman" w:cs="Times New Roman"/>
          <w:color w:val="002060"/>
          <w:sz w:val="24"/>
          <w:szCs w:val="24"/>
        </w:rPr>
      </w:pPr>
      <w:r w:rsidRPr="00D4684D">
        <w:rPr>
          <w:rFonts w:ascii="Times New Roman" w:hAnsi="Times New Roman" w:cs="Times New Roman"/>
          <w:color w:val="002060"/>
          <w:sz w:val="24"/>
          <w:szCs w:val="24"/>
        </w:rPr>
        <w:t>&lt; Justified Italic, Time New Roman 12, Single space &gt;</w:t>
      </w:r>
    </w:p>
    <w:p w:rsidR="00244B14" w:rsidRPr="00D4684D" w:rsidRDefault="00244B14" w:rsidP="00244B14">
      <w:pPr>
        <w:spacing w:before="120" w:after="120" w:line="240" w:lineRule="auto"/>
        <w:ind w:left="-284"/>
        <w:rPr>
          <w:rFonts w:ascii="Times New Roman" w:eastAsia="Times New Roman" w:hAnsi="Times New Roman" w:cs="Times New Roman"/>
          <w:b/>
          <w:bCs/>
          <w:color w:val="FF0000"/>
          <w:sz w:val="24"/>
          <w:szCs w:val="24"/>
        </w:rPr>
      </w:pPr>
      <w:r w:rsidRPr="00D4684D">
        <w:rPr>
          <w:rFonts w:ascii="Times New Roman" w:eastAsia="Times New Roman" w:hAnsi="Times New Roman" w:cs="Times New Roman"/>
          <w:b/>
          <w:bCs/>
          <w:color w:val="FF0000"/>
          <w:sz w:val="24"/>
          <w:szCs w:val="24"/>
        </w:rPr>
        <w:t>Sample abstract</w:t>
      </w:r>
    </w:p>
    <w:p w:rsidR="00244B14" w:rsidRPr="005C57B9" w:rsidRDefault="00244B14" w:rsidP="00244B14">
      <w:pPr>
        <w:spacing w:before="120" w:after="120" w:line="240" w:lineRule="auto"/>
        <w:ind w:left="-284"/>
        <w:jc w:val="center"/>
        <w:rPr>
          <w:rFonts w:ascii="Arial" w:eastAsia="Times New Roman" w:hAnsi="Arial" w:cs="Arial"/>
          <w:color w:val="002060"/>
          <w:sz w:val="28"/>
          <w:szCs w:val="26"/>
        </w:rPr>
      </w:pPr>
      <w:r w:rsidRPr="00B85309">
        <w:rPr>
          <w:rFonts w:ascii="Times New Roman" w:eastAsia="Times New Roman" w:hAnsi="Times New Roman" w:cs="Times New Roman"/>
          <w:b/>
          <w:bCs/>
          <w:color w:val="002060"/>
          <w:sz w:val="28"/>
          <w:szCs w:val="26"/>
        </w:rPr>
        <w:t>Preparation study and bioavailability evaluation of tablets containing fenofibrate nanoparticles</w:t>
      </w:r>
    </w:p>
    <w:p w:rsidR="00244B14" w:rsidRPr="005C57B9" w:rsidRDefault="00244B14" w:rsidP="00244B14">
      <w:pPr>
        <w:spacing w:before="120" w:after="120" w:line="240" w:lineRule="auto"/>
        <w:ind w:left="-284"/>
        <w:jc w:val="center"/>
        <w:rPr>
          <w:rFonts w:ascii="Times New Roman" w:eastAsia="Calibri" w:hAnsi="Times New Roman" w:cs="Times New Roman"/>
          <w:color w:val="002060"/>
          <w:sz w:val="24"/>
        </w:rPr>
      </w:pPr>
      <w:r w:rsidRPr="005C57B9">
        <w:rPr>
          <w:rFonts w:ascii="Times New Roman" w:eastAsia="Calibri" w:hAnsi="Times New Roman" w:cs="Times New Roman"/>
          <w:color w:val="002060"/>
          <w:sz w:val="24"/>
        </w:rPr>
        <w:t>Hoang Anh Dao</w:t>
      </w:r>
      <w:r w:rsidRPr="005C57B9">
        <w:rPr>
          <w:rFonts w:ascii="Times New Roman" w:eastAsia="Calibri" w:hAnsi="Times New Roman" w:cs="Times New Roman"/>
          <w:color w:val="002060"/>
          <w:sz w:val="24"/>
          <w:vertAlign w:val="superscript"/>
        </w:rPr>
        <w:t xml:space="preserve"> 1,2</w:t>
      </w:r>
      <w:r w:rsidRPr="005C57B9">
        <w:rPr>
          <w:rFonts w:ascii="Times New Roman" w:eastAsia="Calibri" w:hAnsi="Times New Roman" w:cs="Times New Roman"/>
          <w:color w:val="002060"/>
          <w:sz w:val="24"/>
        </w:rPr>
        <w:t xml:space="preserve">, Nhung Thi Hong Doan </w:t>
      </w:r>
      <w:r w:rsidRPr="005C57B9">
        <w:rPr>
          <w:rFonts w:ascii="Times New Roman" w:eastAsia="Calibri" w:hAnsi="Times New Roman" w:cs="Times New Roman"/>
          <w:color w:val="002060"/>
          <w:sz w:val="24"/>
          <w:vertAlign w:val="superscript"/>
        </w:rPr>
        <w:t>2</w:t>
      </w:r>
      <w:r w:rsidRPr="005C57B9">
        <w:rPr>
          <w:rFonts w:ascii="Times New Roman" w:eastAsia="Calibri" w:hAnsi="Times New Roman" w:cs="Times New Roman"/>
          <w:color w:val="002060"/>
          <w:sz w:val="24"/>
        </w:rPr>
        <w:t>, Anh Thi Nguyen</w:t>
      </w:r>
      <w:r w:rsidRPr="005C57B9">
        <w:rPr>
          <w:rFonts w:ascii="Times New Roman" w:eastAsia="Calibri" w:hAnsi="Times New Roman" w:cs="Times New Roman"/>
          <w:color w:val="002060"/>
          <w:sz w:val="24"/>
          <w:vertAlign w:val="superscript"/>
        </w:rPr>
        <w:t xml:space="preserve"> 2</w:t>
      </w:r>
      <w:r w:rsidRPr="005C57B9">
        <w:rPr>
          <w:rFonts w:ascii="Times New Roman" w:eastAsia="Calibri" w:hAnsi="Times New Roman" w:cs="Times New Roman"/>
          <w:color w:val="002060"/>
          <w:sz w:val="24"/>
        </w:rPr>
        <w:t>,</w:t>
      </w:r>
      <w:r>
        <w:rPr>
          <w:rFonts w:ascii="Times New Roman" w:eastAsia="Calibri" w:hAnsi="Times New Roman" w:cs="Times New Roman"/>
          <w:color w:val="002060"/>
          <w:sz w:val="24"/>
        </w:rPr>
        <w:t xml:space="preserve"> </w:t>
      </w:r>
      <w:r w:rsidRPr="005C57B9">
        <w:rPr>
          <w:rFonts w:ascii="Times New Roman" w:eastAsia="Calibri" w:hAnsi="Times New Roman" w:cs="Times New Roman"/>
          <w:color w:val="002060"/>
          <w:sz w:val="24"/>
        </w:rPr>
        <w:t>Liem Duc Ngo</w:t>
      </w:r>
      <w:r w:rsidRPr="005C57B9">
        <w:rPr>
          <w:rFonts w:ascii="Times New Roman" w:eastAsia="Calibri" w:hAnsi="Times New Roman" w:cs="Times New Roman"/>
          <w:color w:val="002060"/>
          <w:sz w:val="24"/>
          <w:vertAlign w:val="superscript"/>
        </w:rPr>
        <w:t xml:space="preserve"> 3</w:t>
      </w:r>
      <w:r w:rsidRPr="005C57B9">
        <w:rPr>
          <w:rFonts w:ascii="Times New Roman" w:eastAsia="Calibri" w:hAnsi="Times New Roman" w:cs="Times New Roman"/>
          <w:color w:val="002060"/>
          <w:sz w:val="24"/>
        </w:rPr>
        <w:t>, Giang Thi Le</w:t>
      </w:r>
      <w:r w:rsidRPr="005C57B9">
        <w:rPr>
          <w:rFonts w:ascii="Times New Roman" w:eastAsia="Calibri" w:hAnsi="Times New Roman" w:cs="Times New Roman"/>
          <w:color w:val="002060"/>
          <w:sz w:val="24"/>
          <w:vertAlign w:val="superscript"/>
        </w:rPr>
        <w:t xml:space="preserve"> 2</w:t>
      </w:r>
      <w:r w:rsidRPr="005C57B9">
        <w:rPr>
          <w:rFonts w:ascii="Times New Roman" w:eastAsia="Calibri" w:hAnsi="Times New Roman" w:cs="Times New Roman"/>
          <w:color w:val="002060"/>
          <w:sz w:val="24"/>
        </w:rPr>
        <w:t>, Giap Thien Le</w:t>
      </w:r>
      <w:r w:rsidRPr="005C57B9">
        <w:rPr>
          <w:rFonts w:ascii="Times New Roman" w:eastAsia="Calibri" w:hAnsi="Times New Roman" w:cs="Times New Roman"/>
          <w:color w:val="002060"/>
          <w:sz w:val="24"/>
          <w:vertAlign w:val="superscript"/>
        </w:rPr>
        <w:t xml:space="preserve"> 2</w:t>
      </w:r>
      <w:r w:rsidRPr="005C57B9">
        <w:rPr>
          <w:rFonts w:ascii="Times New Roman" w:eastAsia="Calibri" w:hAnsi="Times New Roman" w:cs="Times New Roman"/>
          <w:color w:val="002060"/>
          <w:sz w:val="24"/>
        </w:rPr>
        <w:t xml:space="preserve"> and Chien Ngoc Nguyen</w:t>
      </w:r>
      <w:r w:rsidRPr="005C57B9">
        <w:rPr>
          <w:rFonts w:ascii="Times New Roman" w:eastAsia="Calibri" w:hAnsi="Times New Roman" w:cs="Times New Roman"/>
          <w:color w:val="002060"/>
          <w:sz w:val="24"/>
          <w:vertAlign w:val="superscript"/>
        </w:rPr>
        <w:t xml:space="preserve"> 2*</w:t>
      </w:r>
    </w:p>
    <w:p w:rsidR="00244B14" w:rsidRPr="005C57B9" w:rsidRDefault="00244B14" w:rsidP="00244B14">
      <w:pPr>
        <w:spacing w:after="0" w:line="240" w:lineRule="auto"/>
        <w:ind w:left="-284"/>
        <w:jc w:val="center"/>
        <w:rPr>
          <w:rFonts w:ascii="Times New Roman" w:eastAsia="Calibri" w:hAnsi="Times New Roman" w:cs="Times New Roman"/>
          <w:i/>
          <w:color w:val="002060"/>
          <w:sz w:val="24"/>
        </w:rPr>
      </w:pPr>
      <w:r w:rsidRPr="005C57B9">
        <w:rPr>
          <w:rFonts w:ascii="Times New Roman" w:eastAsia="Calibri" w:hAnsi="Times New Roman" w:cs="Times New Roman"/>
          <w:i/>
          <w:color w:val="002060"/>
          <w:sz w:val="24"/>
          <w:vertAlign w:val="superscript"/>
        </w:rPr>
        <w:t>1</w:t>
      </w:r>
      <w:r w:rsidRPr="005C57B9">
        <w:rPr>
          <w:rFonts w:ascii="Times New Roman" w:eastAsia="Calibri" w:hAnsi="Times New Roman" w:cs="Times New Roman"/>
          <w:i/>
          <w:color w:val="002060"/>
          <w:sz w:val="24"/>
        </w:rPr>
        <w:t>National Institute of Medicinal Materials</w:t>
      </w:r>
      <w:r>
        <w:rPr>
          <w:rFonts w:ascii="Times New Roman" w:eastAsia="Calibri" w:hAnsi="Times New Roman" w:cs="Times New Roman"/>
          <w:i/>
          <w:color w:val="002060"/>
          <w:sz w:val="24"/>
        </w:rPr>
        <w:t>, Ha Noi, Vietnam</w:t>
      </w:r>
    </w:p>
    <w:p w:rsidR="00244B14" w:rsidRPr="005C57B9" w:rsidRDefault="00244B14" w:rsidP="00244B14">
      <w:pPr>
        <w:spacing w:after="0" w:line="240" w:lineRule="auto"/>
        <w:ind w:left="-284"/>
        <w:jc w:val="center"/>
        <w:rPr>
          <w:rFonts w:ascii="Times New Roman" w:eastAsia="Calibri" w:hAnsi="Times New Roman" w:cs="Times New Roman"/>
          <w:i/>
          <w:color w:val="002060"/>
          <w:sz w:val="24"/>
        </w:rPr>
      </w:pPr>
      <w:r w:rsidRPr="005C57B9">
        <w:rPr>
          <w:rFonts w:ascii="Times New Roman" w:eastAsia="Calibri" w:hAnsi="Times New Roman" w:cs="Times New Roman"/>
          <w:i/>
          <w:color w:val="002060"/>
          <w:sz w:val="24"/>
          <w:vertAlign w:val="superscript"/>
        </w:rPr>
        <w:t>2</w:t>
      </w:r>
      <w:r w:rsidRPr="005C57B9">
        <w:rPr>
          <w:rFonts w:ascii="Times New Roman" w:eastAsia="Calibri" w:hAnsi="Times New Roman" w:cs="Times New Roman"/>
          <w:i/>
          <w:color w:val="002060"/>
          <w:sz w:val="24"/>
        </w:rPr>
        <w:t>Hanoi University of Pharmacy</w:t>
      </w:r>
      <w:r>
        <w:rPr>
          <w:rFonts w:ascii="Times New Roman" w:eastAsia="Calibri" w:hAnsi="Times New Roman" w:cs="Times New Roman"/>
          <w:i/>
          <w:color w:val="002060"/>
          <w:sz w:val="24"/>
        </w:rPr>
        <w:t>, Ha Noi, Vietnam</w:t>
      </w:r>
    </w:p>
    <w:p w:rsidR="00244B14" w:rsidRPr="000E0A5D" w:rsidRDefault="00244B14" w:rsidP="00244B14">
      <w:pPr>
        <w:spacing w:after="0" w:line="240" w:lineRule="auto"/>
        <w:ind w:left="-284"/>
        <w:jc w:val="center"/>
        <w:rPr>
          <w:rFonts w:ascii="Times New Roman" w:eastAsia="Calibri" w:hAnsi="Times New Roman" w:cs="Times New Roman"/>
          <w:b/>
          <w:i/>
          <w:color w:val="002060"/>
          <w:sz w:val="24"/>
        </w:rPr>
      </w:pPr>
      <w:r w:rsidRPr="005C57B9">
        <w:rPr>
          <w:rFonts w:ascii="Times New Roman" w:eastAsia="Calibri" w:hAnsi="Times New Roman" w:cs="Times New Roman"/>
          <w:i/>
          <w:color w:val="002060"/>
          <w:sz w:val="24"/>
          <w:vertAlign w:val="superscript"/>
        </w:rPr>
        <w:t>3</w:t>
      </w:r>
      <w:r w:rsidRPr="005C57B9">
        <w:rPr>
          <w:rFonts w:ascii="Times New Roman" w:eastAsia="Calibri" w:hAnsi="Times New Roman" w:cs="Times New Roman"/>
          <w:i/>
          <w:color w:val="002060"/>
          <w:sz w:val="24"/>
        </w:rPr>
        <w:t>National Institute of Drug Quality Control</w:t>
      </w:r>
      <w:r>
        <w:rPr>
          <w:rFonts w:ascii="Times New Roman" w:eastAsia="Calibri" w:hAnsi="Times New Roman" w:cs="Times New Roman"/>
          <w:i/>
          <w:color w:val="002060"/>
          <w:sz w:val="24"/>
        </w:rPr>
        <w:t>, Ha Noi, Vietnam</w:t>
      </w:r>
    </w:p>
    <w:p w:rsidR="00244B14" w:rsidRPr="005C57B9" w:rsidRDefault="00244B14" w:rsidP="00244B14">
      <w:pPr>
        <w:spacing w:before="120" w:after="120" w:line="240" w:lineRule="auto"/>
        <w:ind w:left="-284"/>
        <w:jc w:val="both"/>
        <w:rPr>
          <w:rFonts w:ascii="Times New Roman" w:eastAsia="Calibri" w:hAnsi="Times New Roman" w:cs="Times New Roman"/>
          <w:i/>
          <w:color w:val="002060"/>
          <w:sz w:val="24"/>
        </w:rPr>
      </w:pPr>
      <w:r w:rsidRPr="002A1750">
        <w:rPr>
          <w:rFonts w:ascii="Times New Roman" w:hAnsi="Times New Roman" w:cs="Times New Roman"/>
          <w:iCs/>
          <w:color w:val="002060"/>
          <w:sz w:val="24"/>
          <w:szCs w:val="24"/>
          <w:vertAlign w:val="superscript"/>
        </w:rPr>
        <w:t>*</w:t>
      </w:r>
      <w:r w:rsidRPr="00D5779C">
        <w:rPr>
          <w:rFonts w:ascii="Times New Roman" w:hAnsi="Times New Roman" w:cs="Times New Roman"/>
          <w:iCs/>
          <w:color w:val="002060"/>
          <w:sz w:val="24"/>
          <w:szCs w:val="24"/>
        </w:rPr>
        <w:t>Corresponding authors:</w:t>
      </w:r>
      <w:r w:rsidRPr="00D5779C">
        <w:rPr>
          <w:rFonts w:ascii="Times New Roman" w:eastAsia="Calibri" w:hAnsi="Times New Roman" w:cs="Times New Roman"/>
          <w:color w:val="002060"/>
          <w:sz w:val="24"/>
        </w:rPr>
        <w:t xml:space="preserve"> chiennn@hup.edu.vn</w:t>
      </w:r>
    </w:p>
    <w:p w:rsidR="00244B14" w:rsidRPr="001029C4" w:rsidRDefault="00244B14" w:rsidP="00244B14">
      <w:pPr>
        <w:keepNext/>
        <w:keepLines/>
        <w:widowControl w:val="0"/>
        <w:spacing w:before="120" w:after="120" w:line="240" w:lineRule="auto"/>
        <w:ind w:left="-284"/>
        <w:jc w:val="both"/>
        <w:outlineLvl w:val="0"/>
        <w:rPr>
          <w:rFonts w:ascii="Times New Roman" w:eastAsia="Times New Roman" w:hAnsi="Times New Roman" w:cs="Times New Roman"/>
          <w:b/>
          <w:color w:val="002060"/>
          <w:sz w:val="24"/>
          <w:szCs w:val="24"/>
        </w:rPr>
      </w:pPr>
      <w:r w:rsidRPr="00B85309">
        <w:rPr>
          <w:rFonts w:ascii="Times New Roman" w:eastAsia="Times New Roman" w:hAnsi="Times New Roman" w:cs="Times New Roman"/>
          <w:b/>
          <w:color w:val="002060"/>
          <w:sz w:val="24"/>
          <w:szCs w:val="24"/>
        </w:rPr>
        <w:t>Abstract</w:t>
      </w:r>
    </w:p>
    <w:p w:rsidR="00244B14" w:rsidRPr="001029C4" w:rsidRDefault="00244B14" w:rsidP="00244B14">
      <w:pPr>
        <w:shd w:val="clear" w:color="auto" w:fill="FFFFFF"/>
        <w:spacing w:before="120" w:after="120" w:line="240" w:lineRule="auto"/>
        <w:ind w:left="-284"/>
        <w:jc w:val="both"/>
        <w:rPr>
          <w:rFonts w:ascii="Arial" w:eastAsia="Times New Roman" w:hAnsi="Arial" w:cs="Arial"/>
          <w:color w:val="002060"/>
          <w:sz w:val="24"/>
          <w:szCs w:val="24"/>
        </w:rPr>
      </w:pPr>
      <w:r w:rsidRPr="001029C4">
        <w:rPr>
          <w:rFonts w:ascii="Times New Roman" w:eastAsia="Times New Roman" w:hAnsi="Times New Roman" w:cs="Times New Roman"/>
          <w:bCs/>
          <w:iCs/>
          <w:color w:val="002060"/>
          <w:sz w:val="24"/>
          <w:szCs w:val="24"/>
        </w:rPr>
        <w:t>The </w:t>
      </w:r>
      <w:r w:rsidRPr="001029C4">
        <w:rPr>
          <w:rFonts w:ascii="Times New Roman" w:eastAsia="Times New Roman" w:hAnsi="Times New Roman" w:cs="Times New Roman"/>
          <w:iCs/>
          <w:color w:val="002060"/>
          <w:sz w:val="24"/>
          <w:szCs w:val="24"/>
        </w:rPr>
        <w:t>Fenofibrate tablet </w:t>
      </w:r>
      <w:r w:rsidRPr="001029C4">
        <w:rPr>
          <w:rFonts w:ascii="Times New Roman" w:eastAsia="Times New Roman" w:hAnsi="Times New Roman" w:cs="Times New Roman"/>
          <w:bCs/>
          <w:iCs/>
          <w:color w:val="002060"/>
          <w:sz w:val="24"/>
          <w:szCs w:val="24"/>
        </w:rPr>
        <w:t>used </w:t>
      </w:r>
      <w:r w:rsidRPr="001029C4">
        <w:rPr>
          <w:rFonts w:ascii="Times New Roman" w:eastAsia="Times New Roman" w:hAnsi="Times New Roman" w:cs="Times New Roman"/>
          <w:iCs/>
          <w:color w:val="002060"/>
          <w:sz w:val="24"/>
          <w:szCs w:val="24"/>
        </w:rPr>
        <w:t>was a high-tech dosage form, containing fenofibrate nanoparticles. Its advantage was </w:t>
      </w:r>
      <w:r w:rsidRPr="001029C4">
        <w:rPr>
          <w:rFonts w:ascii="Times New Roman" w:eastAsia="Times New Roman" w:hAnsi="Times New Roman" w:cs="Times New Roman"/>
          <w:bCs/>
          <w:iCs/>
          <w:color w:val="002060"/>
          <w:sz w:val="24"/>
          <w:szCs w:val="24"/>
        </w:rPr>
        <w:t>a</w:t>
      </w:r>
      <w:r w:rsidRPr="001029C4">
        <w:rPr>
          <w:rFonts w:ascii="Times New Roman" w:eastAsia="Times New Roman" w:hAnsi="Times New Roman" w:cs="Times New Roman"/>
          <w:b/>
          <w:bCs/>
          <w:iCs/>
          <w:color w:val="002060"/>
          <w:sz w:val="24"/>
          <w:szCs w:val="24"/>
        </w:rPr>
        <w:t> </w:t>
      </w:r>
      <w:r w:rsidRPr="001029C4">
        <w:rPr>
          <w:rFonts w:ascii="Times New Roman" w:eastAsia="Times New Roman" w:hAnsi="Times New Roman" w:cs="Times New Roman"/>
          <w:iCs/>
          <w:color w:val="002060"/>
          <w:sz w:val="24"/>
          <w:szCs w:val="24"/>
        </w:rPr>
        <w:t xml:space="preserve">high bioavailability that was not affected by meal. This study aimed to prepare tablets containing fenofibrate nanoparticles with the same dose and bioavailability as the reference drug (Lipanthyl 145). The study developed a formula of nano fenofibrate suspension including fenofibrate 1,5g, HPC 0,05g, HPMC E6 0,025g, water 5g by wet ball milling. The suspension had a size </w:t>
      </w:r>
      <w:r w:rsidRPr="001029C4">
        <w:rPr>
          <w:rFonts w:ascii="Times New Roman" w:eastAsia="Times New Roman" w:hAnsi="Times New Roman" w:cs="Times New Roman"/>
          <w:bCs/>
          <w:iCs/>
          <w:color w:val="002060"/>
          <w:sz w:val="24"/>
          <w:szCs w:val="24"/>
        </w:rPr>
        <w:t>less</w:t>
      </w:r>
      <w:r w:rsidRPr="001029C4">
        <w:rPr>
          <w:rFonts w:ascii="Times New Roman" w:eastAsia="Times New Roman" w:hAnsi="Times New Roman" w:cs="Times New Roman"/>
          <w:iCs/>
          <w:color w:val="002060"/>
          <w:sz w:val="24"/>
          <w:szCs w:val="24"/>
        </w:rPr>
        <w:t xml:space="preserve"> than 500nm and the ratio of fenofibrate was nano-sized to 70% after centrifuging at 100 rcf. Fenofibrate granules were made by fluid-bed granulation from milling suspension and fabricated tablet containing 145 mg of fenofibrate. The tablet had dissolution similar to the reference drug. </w:t>
      </w:r>
      <w:r w:rsidRPr="001029C4">
        <w:rPr>
          <w:rFonts w:ascii="Times New Roman" w:eastAsia="Times New Roman" w:hAnsi="Times New Roman" w:cs="Times New Roman"/>
          <w:bCs/>
          <w:iCs/>
          <w:color w:val="002060"/>
          <w:sz w:val="24"/>
          <w:szCs w:val="24"/>
        </w:rPr>
        <w:t>T</w:t>
      </w:r>
      <w:r w:rsidRPr="001029C4">
        <w:rPr>
          <w:rFonts w:ascii="Times New Roman" w:eastAsia="Times New Roman" w:hAnsi="Times New Roman" w:cs="Times New Roman"/>
          <w:iCs/>
          <w:color w:val="002060"/>
          <w:sz w:val="24"/>
          <w:szCs w:val="24"/>
        </w:rPr>
        <w:t>he oral bioavailability of the studied tablets </w:t>
      </w:r>
      <w:r w:rsidRPr="001029C4">
        <w:rPr>
          <w:rFonts w:ascii="Times New Roman" w:eastAsia="Times New Roman" w:hAnsi="Times New Roman" w:cs="Times New Roman"/>
          <w:bCs/>
          <w:iCs/>
          <w:color w:val="002060"/>
          <w:sz w:val="24"/>
          <w:szCs w:val="24"/>
        </w:rPr>
        <w:t>was compared</w:t>
      </w:r>
      <w:r w:rsidRPr="001029C4">
        <w:rPr>
          <w:rFonts w:ascii="Times New Roman" w:eastAsia="Times New Roman" w:hAnsi="Times New Roman" w:cs="Times New Roman"/>
          <w:iCs/>
          <w:color w:val="002060"/>
          <w:sz w:val="24"/>
          <w:szCs w:val="24"/>
        </w:rPr>
        <w:t> to the reference drug in </w:t>
      </w:r>
      <w:r w:rsidRPr="001029C4">
        <w:rPr>
          <w:rFonts w:ascii="Times New Roman" w:eastAsia="Times New Roman" w:hAnsi="Times New Roman" w:cs="Times New Roman"/>
          <w:bCs/>
          <w:iCs/>
          <w:color w:val="002060"/>
          <w:sz w:val="24"/>
          <w:szCs w:val="24"/>
        </w:rPr>
        <w:t>drugs</w:t>
      </w:r>
      <w:r w:rsidRPr="001029C4">
        <w:rPr>
          <w:rFonts w:ascii="Times New Roman" w:eastAsia="Times New Roman" w:hAnsi="Times New Roman" w:cs="Times New Roman"/>
          <w:iCs/>
          <w:color w:val="002060"/>
          <w:sz w:val="24"/>
          <w:szCs w:val="24"/>
        </w:rPr>
        <w:t xml:space="preserve"> according to the model of double crossover principle, two doses, two drugs, two </w:t>
      </w:r>
      <w:r w:rsidRPr="001029C4">
        <w:rPr>
          <w:rFonts w:ascii="Times New Roman" w:eastAsia="Times New Roman" w:hAnsi="Times New Roman" w:cs="Times New Roman"/>
          <w:iCs/>
          <w:color w:val="002060"/>
          <w:sz w:val="24"/>
          <w:szCs w:val="24"/>
        </w:rPr>
        <w:lastRenderedPageBreak/>
        <w:t>periods, two sequences. The results of AUC</w:t>
      </w:r>
      <w:r w:rsidRPr="001029C4">
        <w:rPr>
          <w:rFonts w:ascii="Times New Roman" w:eastAsia="Times New Roman" w:hAnsi="Times New Roman" w:cs="Times New Roman"/>
          <w:iCs/>
          <w:color w:val="002060"/>
          <w:sz w:val="24"/>
          <w:szCs w:val="24"/>
          <w:vertAlign w:val="subscript"/>
        </w:rPr>
        <w:t>last</w:t>
      </w:r>
      <w:r w:rsidRPr="001029C4">
        <w:rPr>
          <w:rFonts w:ascii="Times New Roman" w:eastAsia="Times New Roman" w:hAnsi="Times New Roman" w:cs="Times New Roman"/>
          <w:iCs/>
          <w:color w:val="002060"/>
          <w:sz w:val="24"/>
          <w:szCs w:val="24"/>
        </w:rPr>
        <w:t> (µg*h/mL), C</w:t>
      </w:r>
      <w:r w:rsidRPr="001029C4">
        <w:rPr>
          <w:rFonts w:ascii="Times New Roman" w:eastAsia="Times New Roman" w:hAnsi="Times New Roman" w:cs="Times New Roman"/>
          <w:iCs/>
          <w:color w:val="002060"/>
          <w:sz w:val="24"/>
          <w:szCs w:val="24"/>
          <w:vertAlign w:val="subscript"/>
        </w:rPr>
        <w:t>max</w:t>
      </w:r>
      <w:r w:rsidRPr="001029C4">
        <w:rPr>
          <w:rFonts w:ascii="Times New Roman" w:eastAsia="Times New Roman" w:hAnsi="Times New Roman" w:cs="Times New Roman"/>
          <w:iCs/>
          <w:color w:val="002060"/>
          <w:sz w:val="24"/>
          <w:szCs w:val="24"/>
        </w:rPr>
        <w:t> (µg/mL), T</w:t>
      </w:r>
      <w:r w:rsidRPr="001029C4">
        <w:rPr>
          <w:rFonts w:ascii="Times New Roman" w:eastAsia="Times New Roman" w:hAnsi="Times New Roman" w:cs="Times New Roman"/>
          <w:iCs/>
          <w:color w:val="002060"/>
          <w:sz w:val="24"/>
          <w:szCs w:val="24"/>
          <w:vertAlign w:val="subscript"/>
        </w:rPr>
        <w:t>max</w:t>
      </w:r>
      <w:r w:rsidRPr="001029C4">
        <w:rPr>
          <w:rFonts w:ascii="Times New Roman" w:eastAsia="Times New Roman" w:hAnsi="Times New Roman" w:cs="Times New Roman"/>
          <w:iCs/>
          <w:color w:val="002060"/>
          <w:sz w:val="24"/>
          <w:szCs w:val="24"/>
        </w:rPr>
        <w:t> (h) of the studied tablet and reference drug were (45.473; 5.899; 2.625) and (46.019; 5.814; 2.583) respectively. This result showed that preparing nano fenofibrate-containing dosage form equivalent to the</w:t>
      </w:r>
      <w:r w:rsidRPr="001029C4">
        <w:rPr>
          <w:rFonts w:ascii="Arial" w:eastAsia="Times New Roman" w:hAnsi="Arial" w:cs="Arial"/>
          <w:iCs/>
          <w:color w:val="002060"/>
          <w:sz w:val="24"/>
          <w:szCs w:val="24"/>
        </w:rPr>
        <w:t> </w:t>
      </w:r>
      <w:r w:rsidRPr="001029C4">
        <w:rPr>
          <w:rFonts w:ascii="Times New Roman" w:eastAsia="Times New Roman" w:hAnsi="Times New Roman" w:cs="Times New Roman"/>
          <w:iCs/>
          <w:color w:val="002060"/>
          <w:sz w:val="24"/>
          <w:szCs w:val="24"/>
        </w:rPr>
        <w:t>reference drug was feasible.</w:t>
      </w:r>
    </w:p>
    <w:p w:rsidR="00244B14" w:rsidRPr="001029C4" w:rsidRDefault="00244B14" w:rsidP="00244B14">
      <w:pPr>
        <w:shd w:val="clear" w:color="auto" w:fill="FFFFFF"/>
        <w:spacing w:before="120" w:after="120" w:line="240" w:lineRule="auto"/>
        <w:ind w:left="-284"/>
        <w:jc w:val="both"/>
        <w:rPr>
          <w:rFonts w:ascii="Arial" w:eastAsia="Times New Roman" w:hAnsi="Arial" w:cs="Arial"/>
          <w:i/>
          <w:color w:val="002060"/>
          <w:sz w:val="24"/>
          <w:szCs w:val="24"/>
        </w:rPr>
      </w:pPr>
      <w:r w:rsidRPr="001029C4">
        <w:rPr>
          <w:rFonts w:ascii="Times New Roman" w:eastAsia="Times New Roman" w:hAnsi="Times New Roman" w:cs="Times New Roman"/>
          <w:b/>
          <w:bCs/>
          <w:i/>
          <w:iCs/>
          <w:color w:val="002060"/>
          <w:sz w:val="24"/>
          <w:szCs w:val="24"/>
        </w:rPr>
        <w:t>Keywords:</w:t>
      </w:r>
      <w:r w:rsidRPr="001029C4">
        <w:rPr>
          <w:rFonts w:ascii="Times New Roman" w:eastAsia="Times New Roman" w:hAnsi="Times New Roman" w:cs="Times New Roman"/>
          <w:i/>
          <w:iCs/>
          <w:color w:val="002060"/>
          <w:sz w:val="24"/>
          <w:szCs w:val="24"/>
        </w:rPr>
        <w:t> Ball milling, bioavailability, lipanthyl 145, nano fenofibrate</w:t>
      </w:r>
    </w:p>
    <w:p w:rsidR="00244B14" w:rsidRPr="001807DB" w:rsidRDefault="00244B14" w:rsidP="00244B14">
      <w:pPr>
        <w:ind w:left="-284"/>
        <w:jc w:val="both"/>
        <w:rPr>
          <w:rFonts w:ascii="Times New Roman" w:hAnsi="Times New Roman" w:cs="Times New Roman"/>
          <w:color w:val="002060"/>
          <w:sz w:val="26"/>
          <w:szCs w:val="26"/>
        </w:rPr>
      </w:pPr>
    </w:p>
    <w:p w:rsidR="00C71F53" w:rsidRDefault="00C71F53"/>
    <w:sectPr w:rsidR="00C71F53" w:rsidSect="00244B14">
      <w:pgSz w:w="11906" w:h="16838" w:code="9"/>
      <w:pgMar w:top="1134" w:right="849"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9Slide04FaustinaBold-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14"/>
    <w:rsid w:val="00244B14"/>
    <w:rsid w:val="005E27E7"/>
    <w:rsid w:val="00C71F53"/>
    <w:rsid w:val="00CB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0BCC"/>
  <w15:chartTrackingRefBased/>
  <w15:docId w15:val="{B272C232-FDCF-4DFD-A018-46245320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B1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44B14"/>
    <w:rPr>
      <w:rFonts w:ascii="#9Slide04FaustinaBold-Bold" w:hAnsi="#9Slide04FaustinaBold-Bold" w:hint="default"/>
      <w:b/>
      <w:bCs/>
      <w:i w:val="0"/>
      <w:iCs w:val="0"/>
      <w:color w:val="242021"/>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 Si</dc:creator>
  <cp:keywords/>
  <dc:description/>
  <cp:lastModifiedBy>Color Si</cp:lastModifiedBy>
  <cp:revision>1</cp:revision>
  <dcterms:created xsi:type="dcterms:W3CDTF">2025-07-22T01:09:00Z</dcterms:created>
  <dcterms:modified xsi:type="dcterms:W3CDTF">2025-07-22T01:15:00Z</dcterms:modified>
</cp:coreProperties>
</file>